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3067" w:rsidRDefault="00463067" w:rsidP="00306762">
      <w:pPr>
        <w:spacing w:line="600" w:lineRule="exact"/>
        <w:rPr>
          <w:rFonts w:ascii="方正小标宋_GBK" w:eastAsia="方正小标宋_GBK" w:hAnsi="Times New Roman"/>
          <w:b/>
          <w:color w:val="000000" w:themeColor="text1"/>
          <w:sz w:val="36"/>
          <w:szCs w:val="36"/>
        </w:rPr>
      </w:pPr>
    </w:p>
    <w:p w:rsidR="00463067" w:rsidRDefault="00B17974">
      <w:pPr>
        <w:spacing w:line="600" w:lineRule="exact"/>
        <w:jc w:val="center"/>
        <w:rPr>
          <w:rFonts w:ascii="方正小标宋_GBK" w:eastAsia="方正小标宋_GBK" w:hAnsi="Times New Roman"/>
          <w:b/>
          <w:color w:val="000000" w:themeColor="text1"/>
          <w:sz w:val="36"/>
          <w:szCs w:val="36"/>
        </w:rPr>
      </w:pPr>
      <w:r>
        <w:rPr>
          <w:rFonts w:ascii="方正小标宋_GBK" w:eastAsia="方正小标宋_GBK" w:hAnsi="Times New Roman" w:hint="eastAsia"/>
          <w:b/>
          <w:color w:val="000000" w:themeColor="text1"/>
          <w:sz w:val="36"/>
          <w:szCs w:val="36"/>
        </w:rPr>
        <w:t>《安徽省实施〈中华人民共和国妇女权益保障法〉办法（修订草案）》 起草说明</w:t>
      </w:r>
    </w:p>
    <w:p w:rsidR="00463067" w:rsidRDefault="00463067">
      <w:pPr>
        <w:spacing w:line="600" w:lineRule="exact"/>
        <w:rPr>
          <w:rFonts w:ascii="方正小标宋_GBK" w:eastAsia="方正小标宋_GBK" w:hAnsi="Times New Roman"/>
          <w:color w:val="000000" w:themeColor="text1"/>
          <w:sz w:val="32"/>
          <w:szCs w:val="32"/>
        </w:rPr>
      </w:pPr>
    </w:p>
    <w:p w:rsidR="00463067" w:rsidRDefault="00B17974">
      <w:pPr>
        <w:spacing w:line="560" w:lineRule="exact"/>
        <w:ind w:firstLineChars="200" w:firstLine="640"/>
        <w:rPr>
          <w:rFonts w:ascii="黑体" w:eastAsia="黑体" w:hAnsi="黑体"/>
          <w:color w:val="000000" w:themeColor="text1"/>
          <w:sz w:val="32"/>
          <w:szCs w:val="32"/>
        </w:rPr>
      </w:pPr>
      <w:r>
        <w:rPr>
          <w:rFonts w:ascii="黑体" w:eastAsia="黑体" w:hAnsi="黑体" w:hint="eastAsia"/>
          <w:color w:val="000000" w:themeColor="text1"/>
          <w:sz w:val="32"/>
          <w:szCs w:val="32"/>
        </w:rPr>
        <w:t>一、修订的必要性</w:t>
      </w:r>
    </w:p>
    <w:p w:rsidR="00463067" w:rsidRDefault="00B17974">
      <w:pPr>
        <w:spacing w:line="560" w:lineRule="exact"/>
        <w:ind w:firstLineChars="200" w:firstLine="640"/>
        <w:rPr>
          <w:rFonts w:ascii="仿宋_GB2312" w:eastAsia="仿宋_GB2312" w:hAnsi="Times New Roman"/>
          <w:color w:val="000000" w:themeColor="text1"/>
          <w:sz w:val="32"/>
          <w:szCs w:val="32"/>
        </w:rPr>
      </w:pPr>
      <w:r>
        <w:rPr>
          <w:rFonts w:ascii="仿宋_GB2312" w:eastAsia="仿宋_GB2312" w:hAnsi="Times New Roman" w:hint="eastAsia"/>
          <w:color w:val="000000" w:themeColor="text1"/>
          <w:sz w:val="32"/>
          <w:szCs w:val="32"/>
        </w:rPr>
        <w:t>新修订的《中华人民共和国妇女权益保障法》已于2023年1月1日起施行，修改涉及条款多，增加的规定多，结构上也有调整，在原有规定基础上，积极适应新时代、新任务、新要求，对妇女权益保障制度机制作出更加全面系统的规定。</w:t>
      </w:r>
      <w:r w:rsidRPr="009063B2">
        <w:rPr>
          <w:rFonts w:ascii="仿宋_GB2312" w:eastAsia="仿宋_GB2312" w:hAnsi="Times New Roman" w:hint="eastAsia"/>
          <w:sz w:val="32"/>
          <w:szCs w:val="32"/>
        </w:rPr>
        <w:t>《安徽省实施&lt;中华人民共和国妇女权益保障法&gt;办法》</w:t>
      </w:r>
      <w:r w:rsidR="00CB270B" w:rsidRPr="009063B2">
        <w:rPr>
          <w:rFonts w:ascii="仿宋_GB2312" w:eastAsia="仿宋_GB2312" w:hAnsi="Times New Roman" w:hint="eastAsia"/>
          <w:sz w:val="32"/>
          <w:szCs w:val="32"/>
        </w:rPr>
        <w:t>于</w:t>
      </w:r>
      <w:r w:rsidRPr="009063B2">
        <w:rPr>
          <w:rFonts w:ascii="仿宋_GB2312" w:eastAsia="仿宋_GB2312" w:hAnsi="Times New Roman" w:hint="eastAsia"/>
          <w:sz w:val="32"/>
          <w:szCs w:val="32"/>
        </w:rPr>
        <w:t>1994年制定并实施，2007年进行了第一次修订，</w:t>
      </w:r>
      <w:r>
        <w:rPr>
          <w:rFonts w:ascii="仿宋_GB2312" w:eastAsia="仿宋_GB2312" w:hAnsi="Times New Roman" w:hint="eastAsia"/>
          <w:color w:val="000000" w:themeColor="text1"/>
          <w:sz w:val="32"/>
          <w:szCs w:val="32"/>
        </w:rPr>
        <w:t>现已与上位法、与社会发展不相适应，有必要进行全面修订。</w:t>
      </w:r>
    </w:p>
    <w:p w:rsidR="00463067" w:rsidRDefault="00B17974">
      <w:pPr>
        <w:spacing w:line="560" w:lineRule="exact"/>
        <w:ind w:firstLineChars="200" w:firstLine="640"/>
        <w:rPr>
          <w:rFonts w:ascii="黑体" w:eastAsia="黑体" w:hAnsi="黑体"/>
          <w:color w:val="000000" w:themeColor="text1"/>
          <w:sz w:val="32"/>
          <w:szCs w:val="32"/>
        </w:rPr>
      </w:pPr>
      <w:r w:rsidRPr="00AD5D0D">
        <w:rPr>
          <w:rFonts w:ascii="黑体" w:eastAsia="黑体" w:hAnsi="黑体" w:hint="eastAsia"/>
          <w:sz w:val="32"/>
          <w:szCs w:val="32"/>
        </w:rPr>
        <w:t>二、</w:t>
      </w:r>
      <w:r>
        <w:rPr>
          <w:rFonts w:ascii="黑体" w:eastAsia="黑体" w:hAnsi="黑体" w:hint="eastAsia"/>
          <w:color w:val="000000" w:themeColor="text1"/>
          <w:sz w:val="32"/>
          <w:szCs w:val="32"/>
        </w:rPr>
        <w:t>修订的主要内容</w:t>
      </w:r>
    </w:p>
    <w:p w:rsidR="00463067" w:rsidRDefault="00B17974">
      <w:pPr>
        <w:pStyle w:val="a6"/>
        <w:shd w:val="clear" w:color="auto" w:fill="FFFFFF"/>
        <w:spacing w:before="120" w:beforeAutospacing="0" w:after="0" w:afterAutospacing="0"/>
        <w:ind w:firstLineChars="200" w:firstLine="643"/>
        <w:jc w:val="both"/>
        <w:rPr>
          <w:rFonts w:ascii="仿宋_GB2312" w:eastAsia="仿宋_GB2312" w:hAnsi="Times New Roman"/>
          <w:color w:val="000000" w:themeColor="text1"/>
          <w:sz w:val="32"/>
          <w:szCs w:val="32"/>
        </w:rPr>
      </w:pPr>
      <w:r w:rsidRPr="009063B2">
        <w:rPr>
          <w:rFonts w:ascii="楷体_GB2312" w:eastAsia="楷体_GB2312" w:hAnsi="华文楷体" w:cs="Times New Roman" w:hint="eastAsia"/>
          <w:b/>
          <w:color w:val="000000" w:themeColor="text1"/>
          <w:kern w:val="2"/>
          <w:sz w:val="32"/>
          <w:szCs w:val="32"/>
        </w:rPr>
        <w:t>（一）加强妇女权益总体保护。</w:t>
      </w:r>
      <w:r w:rsidRPr="009063B2">
        <w:rPr>
          <w:rFonts w:ascii="仿宋_GB2312" w:eastAsia="仿宋_GB2312" w:hAnsi="Times New Roman" w:hint="eastAsia"/>
          <w:color w:val="000000" w:themeColor="text1"/>
          <w:sz w:val="32"/>
          <w:szCs w:val="32"/>
        </w:rPr>
        <w:t>一是突出促进妇女全面发展，充分发挥妇女在全面建设社会主义现代化国家中的作用（第一条）；二是将弘扬社会主义核心价值观写入立法目的（第一条）；</w:t>
      </w:r>
      <w:r>
        <w:rPr>
          <w:rFonts w:ascii="仿宋_GB2312" w:eastAsia="仿宋_GB2312" w:hAnsi="Times New Roman" w:hint="eastAsia"/>
          <w:color w:val="000000" w:themeColor="text1"/>
          <w:sz w:val="32"/>
          <w:szCs w:val="32"/>
        </w:rPr>
        <w:t>三是明确坚持中国共产党对妇女权益保障工作的领导，建立政府主导、各方协同、社会参与的保障妇女权益工作机制（第二条）；四是将妇女发展规划纳入国民经济和社会发展规划（第三条）；</w:t>
      </w:r>
      <w:r w:rsidR="000021AF">
        <w:rPr>
          <w:rFonts w:ascii="仿宋_GB2312" w:eastAsia="仿宋_GB2312" w:hAnsi="Times New Roman" w:hint="eastAsia"/>
          <w:color w:val="000000" w:themeColor="text1"/>
          <w:sz w:val="32"/>
          <w:szCs w:val="32"/>
        </w:rPr>
        <w:t>五</w:t>
      </w:r>
      <w:r w:rsidR="006A4A9A">
        <w:rPr>
          <w:rFonts w:ascii="仿宋_GB2312" w:eastAsia="仿宋_GB2312" w:hAnsi="Times New Roman" w:hint="eastAsia"/>
          <w:color w:val="000000" w:themeColor="text1"/>
          <w:sz w:val="32"/>
          <w:szCs w:val="32"/>
        </w:rPr>
        <w:t>是细化</w:t>
      </w:r>
      <w:r w:rsidR="006A4A9A" w:rsidRPr="006A4A9A">
        <w:rPr>
          <w:rFonts w:ascii="仿宋_GB2312" w:eastAsia="仿宋_GB2312" w:hAnsi="Times New Roman" w:hint="eastAsia"/>
          <w:color w:val="000000" w:themeColor="text1"/>
          <w:sz w:val="32"/>
          <w:szCs w:val="32"/>
        </w:rPr>
        <w:t>县级以上人民政府妇女儿童工作委员会职责</w:t>
      </w:r>
      <w:r w:rsidR="006A4A9A">
        <w:rPr>
          <w:rFonts w:ascii="仿宋_GB2312" w:eastAsia="仿宋_GB2312" w:hAnsi="Times New Roman" w:hint="eastAsia"/>
          <w:color w:val="000000" w:themeColor="text1"/>
          <w:sz w:val="32"/>
          <w:szCs w:val="32"/>
        </w:rPr>
        <w:t>（第四条）；</w:t>
      </w:r>
      <w:r w:rsidR="000021AF">
        <w:rPr>
          <w:rFonts w:ascii="仿宋_GB2312" w:eastAsia="仿宋_GB2312" w:hAnsi="Times New Roman" w:hint="eastAsia"/>
          <w:color w:val="000000" w:themeColor="text1"/>
          <w:sz w:val="32"/>
          <w:szCs w:val="32"/>
        </w:rPr>
        <w:t>六</w:t>
      </w:r>
      <w:r w:rsidR="006A4A9A">
        <w:rPr>
          <w:rFonts w:ascii="仿宋_GB2312" w:eastAsia="仿宋_GB2312" w:hAnsi="Times New Roman" w:hint="eastAsia"/>
          <w:color w:val="000000" w:themeColor="text1"/>
          <w:sz w:val="32"/>
          <w:szCs w:val="32"/>
        </w:rPr>
        <w:t>是新增性别平等评估和审查机制（第七条）；</w:t>
      </w:r>
      <w:r w:rsidR="000021AF">
        <w:rPr>
          <w:rFonts w:ascii="仿宋_GB2312" w:eastAsia="仿宋_GB2312" w:hAnsi="Times New Roman" w:hint="eastAsia"/>
          <w:color w:val="000000" w:themeColor="text1"/>
          <w:sz w:val="32"/>
          <w:szCs w:val="32"/>
        </w:rPr>
        <w:t>七</w:t>
      </w:r>
      <w:r>
        <w:rPr>
          <w:rFonts w:ascii="仿宋_GB2312" w:eastAsia="仿宋_GB2312" w:hAnsi="Times New Roman" w:hint="eastAsia"/>
          <w:color w:val="000000" w:themeColor="text1"/>
          <w:sz w:val="32"/>
          <w:szCs w:val="32"/>
        </w:rPr>
        <w:t>是将妇女发展状况纳入调查统计项目，建立信息发布制度（第八条）。</w:t>
      </w:r>
    </w:p>
    <w:p w:rsidR="00463067" w:rsidRDefault="00B17974">
      <w:pPr>
        <w:pStyle w:val="a6"/>
        <w:shd w:val="clear" w:color="auto" w:fill="FFFFFF"/>
        <w:spacing w:before="120" w:beforeAutospacing="0" w:after="0" w:afterAutospacing="0"/>
        <w:ind w:firstLineChars="200" w:firstLine="643"/>
        <w:jc w:val="both"/>
        <w:rPr>
          <w:rFonts w:ascii="仿宋_GB2312" w:eastAsia="仿宋_GB2312" w:hAnsi="Times New Roman" w:cs="Times New Roman"/>
          <w:color w:val="000000" w:themeColor="text1"/>
          <w:kern w:val="2"/>
          <w:sz w:val="32"/>
          <w:szCs w:val="32"/>
        </w:rPr>
      </w:pPr>
      <w:r>
        <w:rPr>
          <w:rFonts w:ascii="楷体_GB2312" w:eastAsia="楷体_GB2312" w:hAnsi="华文楷体" w:cs="Times New Roman" w:hint="eastAsia"/>
          <w:b/>
          <w:color w:val="000000" w:themeColor="text1"/>
          <w:kern w:val="2"/>
          <w:sz w:val="32"/>
          <w:szCs w:val="32"/>
        </w:rPr>
        <w:lastRenderedPageBreak/>
        <w:t>（二）加强妇女政治权利保障。</w:t>
      </w:r>
      <w:r>
        <w:rPr>
          <w:rFonts w:ascii="仿宋_GB2312" w:eastAsia="仿宋_GB2312" w:hAnsi="Times New Roman" w:hint="eastAsia"/>
          <w:color w:val="000000" w:themeColor="text1"/>
          <w:sz w:val="32"/>
          <w:szCs w:val="32"/>
        </w:rPr>
        <w:t>一是重申省级以下各级人民代表大会的代表候选人妇女的比例，省级为不少于30%，其他为不少于25%（第十二条）；二是</w:t>
      </w:r>
      <w:r>
        <w:rPr>
          <w:rFonts w:ascii="仿宋_GB2312" w:eastAsia="仿宋_GB2312" w:hAnsi="Times New Roman" w:cs="Times New Roman" w:hint="eastAsia"/>
          <w:color w:val="000000" w:themeColor="text1"/>
          <w:kern w:val="2"/>
          <w:sz w:val="32"/>
          <w:szCs w:val="32"/>
        </w:rPr>
        <w:t>进一步明确国家机关、社会团体、企业事业单位应当按规定配备女性领导成员等新规定，明确妇女联合会</w:t>
      </w:r>
      <w:r w:rsidRPr="009063B2">
        <w:rPr>
          <w:rFonts w:ascii="仿宋_GB2312" w:eastAsia="仿宋_GB2312" w:hAnsi="Times New Roman" w:cs="Times New Roman" w:hint="eastAsia"/>
          <w:kern w:val="2"/>
          <w:sz w:val="32"/>
          <w:szCs w:val="32"/>
        </w:rPr>
        <w:t>推荐</w:t>
      </w:r>
      <w:r>
        <w:rPr>
          <w:rFonts w:ascii="仿宋_GB2312" w:eastAsia="仿宋_GB2312" w:hAnsi="Times New Roman" w:cs="Times New Roman" w:hint="eastAsia"/>
          <w:color w:val="000000" w:themeColor="text1"/>
          <w:kern w:val="2"/>
          <w:sz w:val="32"/>
          <w:szCs w:val="32"/>
        </w:rPr>
        <w:t>女干部的权利（第十三条、第十四条）。</w:t>
      </w:r>
    </w:p>
    <w:p w:rsidR="00463067" w:rsidRDefault="00B17974">
      <w:pPr>
        <w:pStyle w:val="a6"/>
        <w:shd w:val="clear" w:color="auto" w:fill="FFFFFF"/>
        <w:spacing w:before="120" w:beforeAutospacing="0" w:after="0" w:afterAutospacing="0"/>
        <w:ind w:firstLineChars="200" w:firstLine="643"/>
        <w:jc w:val="both"/>
        <w:rPr>
          <w:rFonts w:ascii="仿宋_GB2312" w:eastAsia="仿宋_GB2312" w:hAnsi="Times New Roman" w:cs="Times New Roman"/>
          <w:color w:val="000000" w:themeColor="text1"/>
          <w:kern w:val="2"/>
          <w:sz w:val="32"/>
          <w:szCs w:val="32"/>
        </w:rPr>
      </w:pPr>
      <w:r>
        <w:rPr>
          <w:rFonts w:ascii="楷体_GB2312" w:eastAsia="楷体_GB2312" w:hAnsi="华文楷体" w:cs="Times New Roman" w:hint="eastAsia"/>
          <w:b/>
          <w:color w:val="000000" w:themeColor="text1"/>
          <w:kern w:val="2"/>
          <w:sz w:val="32"/>
          <w:szCs w:val="32"/>
        </w:rPr>
        <w:t>（三）强化妇女人格权益保障。</w:t>
      </w:r>
      <w:r>
        <w:rPr>
          <w:rFonts w:ascii="仿宋_GB2312" w:eastAsia="仿宋_GB2312" w:hAnsi="Times New Roman" w:cs="Times New Roman" w:hint="eastAsia"/>
          <w:color w:val="000000" w:themeColor="text1"/>
          <w:kern w:val="2"/>
          <w:sz w:val="32"/>
          <w:szCs w:val="32"/>
        </w:rPr>
        <w:t>一是明确了依法保障妇女享有与男子平等的人身和人格权益（第十六条）；</w:t>
      </w:r>
      <w:r w:rsidRPr="009063B2">
        <w:rPr>
          <w:rFonts w:ascii="仿宋_GB2312" w:eastAsia="仿宋_GB2312" w:hAnsi="Times New Roman" w:cs="Times New Roman" w:hint="eastAsia"/>
          <w:kern w:val="2"/>
          <w:sz w:val="32"/>
          <w:szCs w:val="32"/>
        </w:rPr>
        <w:t>二是对性骚扰进行了禁止性规定，并对性骚扰投诉、报案以及用人单位和公共场所的管理单位预防和制止性骚扰的义务等进行了规定（第十七条）；</w:t>
      </w:r>
      <w:r>
        <w:rPr>
          <w:rFonts w:ascii="仿宋_GB2312" w:eastAsia="仿宋_GB2312" w:hAnsi="Times New Roman" w:cs="Times New Roman" w:hint="eastAsia"/>
          <w:color w:val="000000" w:themeColor="text1"/>
          <w:kern w:val="2"/>
          <w:sz w:val="32"/>
          <w:szCs w:val="32"/>
        </w:rPr>
        <w:t>三是完善了妇女个人信息保护措施（第十八条）；增加了建立妇女健康服务保障体系、健康检查、提供妇女心理服务等新内容（第十九条、第二十条、第二十一条）。</w:t>
      </w:r>
    </w:p>
    <w:p w:rsidR="00463067" w:rsidRDefault="00B17974">
      <w:pPr>
        <w:ind w:firstLineChars="200" w:firstLine="643"/>
        <w:rPr>
          <w:rFonts w:ascii="仿宋_GB2312" w:eastAsia="仿宋_GB2312" w:hAnsi="Times New Roman"/>
          <w:color w:val="000000" w:themeColor="text1"/>
          <w:sz w:val="32"/>
          <w:szCs w:val="32"/>
        </w:rPr>
      </w:pPr>
      <w:r>
        <w:rPr>
          <w:rFonts w:ascii="楷体_GB2312" w:eastAsia="楷体_GB2312" w:hAnsi="华文楷体" w:hint="eastAsia"/>
          <w:b/>
          <w:color w:val="000000" w:themeColor="text1"/>
          <w:sz w:val="32"/>
          <w:szCs w:val="32"/>
        </w:rPr>
        <w:t>（四）提升妇女文化教育权益保障。</w:t>
      </w:r>
      <w:r>
        <w:rPr>
          <w:rFonts w:ascii="仿宋_GB2312" w:eastAsia="仿宋_GB2312" w:hAnsi="Times New Roman" w:hint="eastAsia"/>
          <w:color w:val="000000" w:themeColor="text1"/>
          <w:sz w:val="32"/>
          <w:szCs w:val="32"/>
        </w:rPr>
        <w:t>一是明确地方政府</w:t>
      </w:r>
      <w:r>
        <w:rPr>
          <w:rFonts w:ascii="仿宋_GB2312" w:eastAsia="仿宋_GB2312" w:hAnsi="Times New Roman"/>
          <w:color w:val="000000" w:themeColor="text1"/>
          <w:sz w:val="32"/>
          <w:szCs w:val="32"/>
        </w:rPr>
        <w:t>开展文化、教育、体育活动，提高妇女自身素质</w:t>
      </w:r>
      <w:r>
        <w:rPr>
          <w:rFonts w:ascii="仿宋_GB2312" w:eastAsia="仿宋_GB2312" w:hAnsi="Times New Roman" w:hint="eastAsia"/>
          <w:color w:val="000000" w:themeColor="text1"/>
          <w:sz w:val="32"/>
          <w:szCs w:val="32"/>
        </w:rPr>
        <w:t>的职责（第二十二条）；二是补充完善了保障适龄女性未成年人接受并完成义务教育的相关规定，明确政府采取措施保障女性平等享有接受中高等教育的权利和机会，健全妇女终身学习和职业教育的规定（第二十三条、第二十五条）；三是新增对女科技工作者的保护（第二十七条）。</w:t>
      </w:r>
    </w:p>
    <w:p w:rsidR="00463067" w:rsidRPr="009063B2" w:rsidRDefault="00B17974">
      <w:pPr>
        <w:pStyle w:val="a6"/>
        <w:shd w:val="clear" w:color="auto" w:fill="FFFFFF"/>
        <w:spacing w:before="120" w:beforeAutospacing="0" w:after="0" w:afterAutospacing="0"/>
        <w:ind w:firstLineChars="200" w:firstLine="643"/>
        <w:jc w:val="both"/>
        <w:rPr>
          <w:rFonts w:ascii="仿宋_GB2312" w:eastAsia="仿宋_GB2312" w:hAnsi="Times New Roman" w:cs="Times New Roman"/>
          <w:kern w:val="2"/>
          <w:sz w:val="32"/>
          <w:szCs w:val="32"/>
        </w:rPr>
      </w:pPr>
      <w:r>
        <w:rPr>
          <w:rFonts w:ascii="楷体_GB2312" w:eastAsia="楷体_GB2312" w:hAnsi="华文楷体" w:cs="Times New Roman" w:hint="eastAsia"/>
          <w:b/>
          <w:color w:val="000000" w:themeColor="text1"/>
          <w:kern w:val="2"/>
          <w:sz w:val="32"/>
          <w:szCs w:val="32"/>
        </w:rPr>
        <w:t>（五）突出劳动和社会保障权益保障。</w:t>
      </w:r>
      <w:r>
        <w:rPr>
          <w:rFonts w:ascii="仿宋_GB2312" w:eastAsia="仿宋_GB2312" w:hAnsi="Times New Roman" w:cs="Times New Roman" w:hint="eastAsia"/>
          <w:color w:val="000000" w:themeColor="text1"/>
          <w:kern w:val="2"/>
          <w:sz w:val="32"/>
          <w:szCs w:val="32"/>
        </w:rPr>
        <w:t>一是重点明确就业性别歧视的主要情形，完善禁止婚育歧视、退休歧视的规定（第二十九条）；二是推广女职工特殊权益专项集体合同、明确女职工</w:t>
      </w:r>
      <w:r>
        <w:rPr>
          <w:rFonts w:ascii="仿宋_GB2312" w:eastAsia="仿宋_GB2312" w:hAnsi="Times New Roman" w:cs="Times New Roman" w:hint="eastAsia"/>
          <w:color w:val="000000" w:themeColor="text1"/>
          <w:kern w:val="2"/>
          <w:sz w:val="32"/>
          <w:szCs w:val="32"/>
        </w:rPr>
        <w:lastRenderedPageBreak/>
        <w:t>特殊劳动保护，以及女职工在经期、孕期、产期、哺乳期依法享有特殊保护和特殊待遇，突出困难妇女权益保障，落实生育保险的规定，增强新形势下对妇女就业的全方位保护（第三十条、第三十一条、第三十二条、第三十三条）；三是新增</w:t>
      </w:r>
      <w:r w:rsidRPr="009063B2">
        <w:rPr>
          <w:rFonts w:ascii="仿宋_GB2312" w:eastAsia="仿宋_GB2312" w:hAnsi="Times New Roman" w:cs="Times New Roman" w:hint="eastAsia"/>
          <w:kern w:val="2"/>
          <w:sz w:val="32"/>
          <w:szCs w:val="32"/>
        </w:rPr>
        <w:t>将</w:t>
      </w:r>
      <w:r>
        <w:rPr>
          <w:rFonts w:ascii="仿宋_GB2312" w:eastAsia="仿宋_GB2312" w:hAnsi="Times New Roman" w:cs="Times New Roman" w:hint="eastAsia"/>
          <w:color w:val="000000" w:themeColor="text1"/>
          <w:kern w:val="2"/>
          <w:sz w:val="32"/>
          <w:szCs w:val="32"/>
        </w:rPr>
        <w:t>就业性别歧视行为纳入劳动保障监察范围的机制、</w:t>
      </w:r>
      <w:r w:rsidRPr="009063B2">
        <w:rPr>
          <w:rFonts w:ascii="仿宋_GB2312" w:eastAsia="仿宋_GB2312" w:hAnsi="Times New Roman" w:cs="Times New Roman" w:hint="eastAsia"/>
          <w:kern w:val="2"/>
          <w:sz w:val="32"/>
          <w:szCs w:val="32"/>
        </w:rPr>
        <w:t>关</w:t>
      </w:r>
      <w:r>
        <w:rPr>
          <w:rFonts w:ascii="仿宋_GB2312" w:eastAsia="仿宋_GB2312" w:hAnsi="Times New Roman" w:cs="Times New Roman" w:hint="eastAsia"/>
          <w:color w:val="000000" w:themeColor="text1"/>
          <w:kern w:val="2"/>
          <w:sz w:val="32"/>
          <w:szCs w:val="32"/>
        </w:rPr>
        <w:t>于育后工作和灵活就业的规定（第三十四条、第三十五条、第三十六条）；四是</w:t>
      </w:r>
      <w:r w:rsidRPr="009063B2">
        <w:rPr>
          <w:rFonts w:ascii="仿宋_GB2312" w:eastAsia="仿宋_GB2312" w:hAnsi="Times New Roman" w:cs="Times New Roman" w:hint="eastAsia"/>
          <w:kern w:val="2"/>
          <w:sz w:val="32"/>
          <w:szCs w:val="32"/>
        </w:rPr>
        <w:t>注重困难妇女权益保障（第三十七条）。</w:t>
      </w:r>
    </w:p>
    <w:p w:rsidR="00463067" w:rsidRDefault="00B17974">
      <w:pPr>
        <w:pStyle w:val="a6"/>
        <w:shd w:val="clear" w:color="auto" w:fill="FFFFFF"/>
        <w:spacing w:before="120" w:beforeAutospacing="0" w:after="0" w:afterAutospacing="0"/>
        <w:ind w:firstLineChars="200" w:firstLine="643"/>
        <w:jc w:val="both"/>
        <w:rPr>
          <w:rFonts w:ascii="仿宋_GB2312" w:eastAsia="仿宋_GB2312" w:hAnsi="Times New Roman" w:cs="Times New Roman"/>
          <w:color w:val="000000" w:themeColor="text1"/>
          <w:kern w:val="2"/>
          <w:sz w:val="32"/>
          <w:szCs w:val="32"/>
        </w:rPr>
      </w:pPr>
      <w:r>
        <w:rPr>
          <w:rFonts w:ascii="楷体_GB2312" w:eastAsia="楷体_GB2312" w:hAnsi="华文楷体" w:cs="Times New Roman" w:hint="eastAsia"/>
          <w:b/>
          <w:color w:val="000000" w:themeColor="text1"/>
          <w:kern w:val="2"/>
          <w:sz w:val="32"/>
          <w:szCs w:val="32"/>
        </w:rPr>
        <w:t>（六）注重妇女财产权益保障。</w:t>
      </w:r>
      <w:r>
        <w:rPr>
          <w:rFonts w:ascii="仿宋_GB2312" w:eastAsia="仿宋_GB2312" w:hAnsi="Times New Roman" w:cs="Times New Roman" w:hint="eastAsia"/>
          <w:color w:val="000000" w:themeColor="text1"/>
          <w:kern w:val="2"/>
          <w:sz w:val="32"/>
          <w:szCs w:val="32"/>
        </w:rPr>
        <w:t>一是完善</w:t>
      </w:r>
      <w:r>
        <w:rPr>
          <w:rFonts w:ascii="仿宋_GB2312" w:eastAsia="仿宋_GB2312" w:hAnsi="Times New Roman" w:cs="Times New Roman"/>
          <w:color w:val="000000" w:themeColor="text1"/>
          <w:kern w:val="2"/>
          <w:sz w:val="32"/>
          <w:szCs w:val="32"/>
        </w:rPr>
        <w:t>农村妇女</w:t>
      </w:r>
      <w:r>
        <w:rPr>
          <w:rFonts w:ascii="仿宋_GB2312" w:eastAsia="仿宋_GB2312" w:hAnsi="Times New Roman" w:cs="Times New Roman" w:hint="eastAsia"/>
          <w:color w:val="000000" w:themeColor="text1"/>
          <w:kern w:val="2"/>
          <w:sz w:val="32"/>
          <w:szCs w:val="32"/>
        </w:rPr>
        <w:t>集体</w:t>
      </w:r>
      <w:r>
        <w:rPr>
          <w:rFonts w:ascii="仿宋_GB2312" w:eastAsia="仿宋_GB2312" w:hAnsi="Times New Roman" w:cs="Times New Roman"/>
          <w:color w:val="000000" w:themeColor="text1"/>
          <w:kern w:val="2"/>
          <w:sz w:val="32"/>
          <w:szCs w:val="32"/>
        </w:rPr>
        <w:t>土地</w:t>
      </w:r>
      <w:r>
        <w:rPr>
          <w:rFonts w:ascii="仿宋_GB2312" w:eastAsia="仿宋_GB2312" w:hAnsi="Times New Roman" w:cs="Times New Roman" w:hint="eastAsia"/>
          <w:color w:val="000000" w:themeColor="text1"/>
          <w:kern w:val="2"/>
          <w:sz w:val="32"/>
          <w:szCs w:val="32"/>
        </w:rPr>
        <w:t>及相关</w:t>
      </w:r>
      <w:r>
        <w:rPr>
          <w:rFonts w:ascii="仿宋_GB2312" w:eastAsia="仿宋_GB2312" w:hAnsi="Times New Roman" w:cs="Times New Roman"/>
          <w:color w:val="000000" w:themeColor="text1"/>
          <w:kern w:val="2"/>
          <w:sz w:val="32"/>
          <w:szCs w:val="32"/>
        </w:rPr>
        <w:t>权益</w:t>
      </w:r>
      <w:r>
        <w:rPr>
          <w:rFonts w:ascii="仿宋_GB2312" w:eastAsia="仿宋_GB2312" w:hAnsi="Times New Roman" w:cs="Times New Roman" w:hint="eastAsia"/>
          <w:color w:val="000000" w:themeColor="text1"/>
          <w:kern w:val="2"/>
          <w:sz w:val="32"/>
          <w:szCs w:val="32"/>
        </w:rPr>
        <w:t>的</w:t>
      </w:r>
      <w:r>
        <w:rPr>
          <w:rFonts w:ascii="仿宋_GB2312" w:eastAsia="仿宋_GB2312" w:hAnsi="Times New Roman" w:cs="Times New Roman"/>
          <w:color w:val="000000" w:themeColor="text1"/>
          <w:kern w:val="2"/>
          <w:sz w:val="32"/>
          <w:szCs w:val="32"/>
        </w:rPr>
        <w:t>保障</w:t>
      </w:r>
      <w:r>
        <w:rPr>
          <w:rFonts w:ascii="仿宋_GB2312" w:eastAsia="仿宋_GB2312" w:hAnsi="Times New Roman" w:cs="Times New Roman" w:hint="eastAsia"/>
          <w:color w:val="000000" w:themeColor="text1"/>
          <w:kern w:val="2"/>
          <w:sz w:val="32"/>
          <w:szCs w:val="32"/>
        </w:rPr>
        <w:t>措施（第四十条）；二是</w:t>
      </w:r>
      <w:r w:rsidRPr="009063B2">
        <w:rPr>
          <w:rFonts w:ascii="仿宋_GB2312" w:eastAsia="仿宋_GB2312" w:hAnsi="Times New Roman" w:cs="Times New Roman" w:hint="eastAsia"/>
          <w:kern w:val="2"/>
          <w:sz w:val="32"/>
          <w:szCs w:val="32"/>
        </w:rPr>
        <w:t>健全</w:t>
      </w:r>
      <w:r>
        <w:rPr>
          <w:rFonts w:ascii="仿宋_GB2312" w:eastAsia="仿宋_GB2312" w:hAnsi="Times New Roman" w:cs="Times New Roman"/>
          <w:color w:val="000000" w:themeColor="text1"/>
          <w:kern w:val="2"/>
          <w:sz w:val="32"/>
          <w:szCs w:val="32"/>
        </w:rPr>
        <w:t>保护妇女因婚姻状况变动产生的权益</w:t>
      </w:r>
      <w:r>
        <w:rPr>
          <w:rFonts w:ascii="仿宋_GB2312" w:eastAsia="仿宋_GB2312" w:hAnsi="Times New Roman" w:cs="Times New Roman" w:hint="eastAsia"/>
          <w:color w:val="000000" w:themeColor="text1"/>
          <w:kern w:val="2"/>
          <w:sz w:val="32"/>
          <w:szCs w:val="32"/>
        </w:rPr>
        <w:t>，</w:t>
      </w:r>
      <w:r>
        <w:rPr>
          <w:rFonts w:ascii="仿宋_GB2312" w:eastAsia="仿宋_GB2312" w:hAnsi="Times New Roman" w:cs="Times New Roman"/>
          <w:color w:val="000000" w:themeColor="text1"/>
          <w:kern w:val="2"/>
          <w:sz w:val="32"/>
          <w:szCs w:val="32"/>
        </w:rPr>
        <w:t>户口变动产生的收益分配</w:t>
      </w:r>
      <w:r w:rsidRPr="009063B2">
        <w:rPr>
          <w:rFonts w:ascii="仿宋_GB2312" w:eastAsia="仿宋_GB2312" w:hAnsi="Times New Roman" w:cs="Times New Roman" w:hint="eastAsia"/>
          <w:kern w:val="2"/>
          <w:sz w:val="32"/>
          <w:szCs w:val="32"/>
        </w:rPr>
        <w:t>权益</w:t>
      </w:r>
      <w:r>
        <w:rPr>
          <w:rFonts w:ascii="仿宋_GB2312" w:eastAsia="仿宋_GB2312" w:hAnsi="Times New Roman" w:cs="Times New Roman" w:hint="eastAsia"/>
          <w:color w:val="000000" w:themeColor="text1"/>
          <w:kern w:val="2"/>
          <w:sz w:val="32"/>
          <w:szCs w:val="32"/>
        </w:rPr>
        <w:t>、</w:t>
      </w:r>
      <w:r>
        <w:rPr>
          <w:rFonts w:ascii="仿宋_GB2312" w:eastAsia="仿宋_GB2312" w:hAnsi="Times New Roman" w:cs="Times New Roman"/>
          <w:color w:val="000000" w:themeColor="text1"/>
          <w:kern w:val="2"/>
          <w:sz w:val="32"/>
          <w:szCs w:val="32"/>
        </w:rPr>
        <w:t>建房权益等方面的保障措施</w:t>
      </w:r>
      <w:r>
        <w:rPr>
          <w:rFonts w:ascii="仿宋_GB2312" w:eastAsia="仿宋_GB2312" w:hAnsi="Times New Roman" w:cs="Times New Roman" w:hint="eastAsia"/>
          <w:color w:val="000000" w:themeColor="text1"/>
          <w:kern w:val="2"/>
          <w:sz w:val="32"/>
          <w:szCs w:val="32"/>
        </w:rPr>
        <w:t>（第四十一条、第四十二条）。</w:t>
      </w:r>
    </w:p>
    <w:p w:rsidR="00463067" w:rsidRDefault="00B17974">
      <w:pPr>
        <w:ind w:firstLineChars="200" w:firstLine="643"/>
        <w:rPr>
          <w:rFonts w:ascii="仿宋_GB2312" w:eastAsia="仿宋_GB2312" w:hAnsi="Times New Roman"/>
          <w:color w:val="000000" w:themeColor="text1"/>
          <w:sz w:val="32"/>
          <w:szCs w:val="32"/>
        </w:rPr>
      </w:pPr>
      <w:r>
        <w:rPr>
          <w:rFonts w:ascii="楷体_GB2312" w:eastAsia="楷体_GB2312" w:hAnsi="华文楷体" w:hint="eastAsia"/>
          <w:b/>
          <w:color w:val="000000" w:themeColor="text1"/>
          <w:sz w:val="32"/>
          <w:szCs w:val="32"/>
        </w:rPr>
        <w:t>（七）聚焦婚姻家庭权益保障。</w:t>
      </w:r>
      <w:r>
        <w:rPr>
          <w:rFonts w:ascii="仿宋_GB2312" w:eastAsia="仿宋_GB2312" w:hAnsi="Times New Roman" w:hint="eastAsia"/>
          <w:color w:val="000000" w:themeColor="text1"/>
          <w:sz w:val="32"/>
          <w:szCs w:val="32"/>
        </w:rPr>
        <w:t>一是提倡</w:t>
      </w:r>
      <w:r>
        <w:rPr>
          <w:rFonts w:ascii="仿宋_GB2312" w:eastAsia="仿宋_GB2312" w:hAnsi="Times New Roman"/>
          <w:color w:val="000000" w:themeColor="text1"/>
          <w:sz w:val="32"/>
          <w:szCs w:val="32"/>
        </w:rPr>
        <w:t>建立平等、和睦、文明的婚姻家庭关系</w:t>
      </w:r>
      <w:r>
        <w:rPr>
          <w:rFonts w:ascii="仿宋_GB2312" w:eastAsia="仿宋_GB2312" w:hAnsi="Times New Roman" w:hint="eastAsia"/>
          <w:color w:val="000000" w:themeColor="text1"/>
          <w:sz w:val="32"/>
          <w:szCs w:val="32"/>
        </w:rPr>
        <w:t>（第四十</w:t>
      </w:r>
      <w:bookmarkStart w:id="0" w:name="_GoBack"/>
      <w:bookmarkEnd w:id="0"/>
      <w:r>
        <w:rPr>
          <w:rFonts w:ascii="仿宋_GB2312" w:eastAsia="仿宋_GB2312" w:hAnsi="Times New Roman" w:hint="eastAsia"/>
          <w:color w:val="000000" w:themeColor="text1"/>
          <w:sz w:val="32"/>
          <w:szCs w:val="32"/>
        </w:rPr>
        <w:t>四条）；二是明确对妇女在婚姻家庭财产保护等方面的培训和辅导（第四十五条）</w:t>
      </w:r>
      <w:r>
        <w:rPr>
          <w:rFonts w:ascii="楷体_GB2312" w:eastAsia="楷体_GB2312" w:hAnsi="华文楷体" w:hint="eastAsia"/>
          <w:b/>
          <w:color w:val="000000" w:themeColor="text1"/>
          <w:sz w:val="32"/>
          <w:szCs w:val="32"/>
        </w:rPr>
        <w:t>；</w:t>
      </w:r>
      <w:r>
        <w:rPr>
          <w:rFonts w:ascii="仿宋_GB2312" w:eastAsia="仿宋_GB2312" w:hAnsi="Times New Roman" w:hint="eastAsia"/>
          <w:color w:val="000000" w:themeColor="text1"/>
          <w:sz w:val="32"/>
          <w:szCs w:val="32"/>
        </w:rPr>
        <w:t>三是完善反家暴的保障措施，明确列举家暴具体情形</w:t>
      </w:r>
      <w:r w:rsidRPr="009063B2">
        <w:rPr>
          <w:rFonts w:ascii="仿宋_GB2312" w:eastAsia="仿宋_GB2312" w:hAnsi="Times New Roman" w:hint="eastAsia"/>
          <w:sz w:val="32"/>
          <w:szCs w:val="32"/>
        </w:rPr>
        <w:t>以及</w:t>
      </w:r>
      <w:r w:rsidR="001E6669">
        <w:rPr>
          <w:rFonts w:ascii="仿宋_GB2312" w:eastAsia="仿宋_GB2312" w:hAnsi="Times New Roman" w:hint="eastAsia"/>
          <w:color w:val="000000" w:themeColor="text1"/>
          <w:sz w:val="32"/>
          <w:szCs w:val="32"/>
        </w:rPr>
        <w:t>处置</w:t>
      </w:r>
      <w:r>
        <w:rPr>
          <w:rFonts w:ascii="仿宋_GB2312" w:eastAsia="仿宋_GB2312" w:hAnsi="Times New Roman" w:hint="eastAsia"/>
          <w:color w:val="000000" w:themeColor="text1"/>
          <w:sz w:val="32"/>
          <w:szCs w:val="32"/>
        </w:rPr>
        <w:t>措施（第四十六条）。</w:t>
      </w:r>
    </w:p>
    <w:p w:rsidR="00463067" w:rsidRDefault="00B17974">
      <w:pPr>
        <w:ind w:firstLineChars="200" w:firstLine="643"/>
        <w:rPr>
          <w:rFonts w:ascii="仿宋_GB2312" w:eastAsia="仿宋_GB2312" w:hAnsi="Times New Roman"/>
          <w:color w:val="000000" w:themeColor="text1"/>
          <w:sz w:val="32"/>
          <w:szCs w:val="32"/>
        </w:rPr>
      </w:pPr>
      <w:r>
        <w:rPr>
          <w:rFonts w:ascii="楷体_GB2312" w:eastAsia="楷体_GB2312" w:hAnsi="华文楷体" w:hint="eastAsia"/>
          <w:b/>
          <w:color w:val="000000" w:themeColor="text1"/>
          <w:sz w:val="32"/>
          <w:szCs w:val="32"/>
        </w:rPr>
        <w:t>（八）明确权益保障救济措施。</w:t>
      </w:r>
      <w:r>
        <w:rPr>
          <w:rFonts w:ascii="仿宋_GB2312" w:eastAsia="仿宋_GB2312" w:hAnsi="Times New Roman" w:hint="eastAsia"/>
          <w:color w:val="000000" w:themeColor="text1"/>
          <w:sz w:val="32"/>
          <w:szCs w:val="32"/>
        </w:rPr>
        <w:t>一是明确</w:t>
      </w:r>
      <w:r>
        <w:rPr>
          <w:rFonts w:ascii="仿宋_GB2312" w:eastAsia="仿宋_GB2312" w:hAnsi="Times New Roman" w:hint="eastAsia"/>
          <w:color w:val="000000" w:themeColor="text1"/>
          <w:sz w:val="32"/>
          <w:szCs w:val="32"/>
          <w:lang w:val="zh-CN"/>
        </w:rPr>
        <w:t>对侵害妇女合法权益的行为</w:t>
      </w:r>
      <w:r>
        <w:rPr>
          <w:rFonts w:ascii="仿宋_GB2312" w:eastAsia="仿宋_GB2312" w:hAnsi="Times New Roman" w:hint="eastAsia"/>
          <w:color w:val="000000" w:themeColor="text1"/>
          <w:sz w:val="32"/>
          <w:szCs w:val="32"/>
        </w:rPr>
        <w:t>的救济途径，包括劝阻、制止、控告、检举等（第四十七条）；二是建立婚姻家庭纠纷预防化解联动机制（第四十八条）；三是推进婚姻家庭纠纷调解（第四十九条）；四是明确对家庭暴力的救助措施（第五十条）。</w:t>
      </w:r>
    </w:p>
    <w:sectPr w:rsidR="00463067" w:rsidSect="00463067">
      <w:headerReference w:type="default" r:id="rId6"/>
      <w:footerReference w:type="default" r:id="rId7"/>
      <w:pgSz w:w="11906" w:h="16838"/>
      <w:pgMar w:top="1440" w:right="1531" w:bottom="1440"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6B76" w:rsidRDefault="00026B76" w:rsidP="00463067">
      <w:r>
        <w:separator/>
      </w:r>
    </w:p>
  </w:endnote>
  <w:endnote w:type="continuationSeparator" w:id="0">
    <w:p w:rsidR="00026B76" w:rsidRDefault="00026B76" w:rsidP="004630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embedRegular r:id="rId1" w:subsetted="1" w:fontKey="{FDF991F1-65CF-43E3-BDF3-A5D99237CCA6}"/>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embedBold r:id="rId2" w:subsetted="1" w:fontKey="{4A415864-C6EB-42CA-AB8A-6DF7625D0325}"/>
  </w:font>
  <w:font w:name="黑体">
    <w:altName w:val="SimHei"/>
    <w:panose1 w:val="02010609060101010101"/>
    <w:charset w:val="86"/>
    <w:family w:val="modern"/>
    <w:pitch w:val="fixed"/>
    <w:sig w:usb0="800002BF" w:usb1="38CF7CFA" w:usb2="00000016" w:usb3="00000000" w:csb0="00040001" w:csb1="00000000"/>
    <w:embedRegular r:id="rId3" w:subsetted="1" w:fontKey="{984CB70A-C576-49BE-B30A-BCA0279E2CE1}"/>
  </w:font>
  <w:font w:name="仿宋_GB2312">
    <w:altName w:val="仿宋"/>
    <w:panose1 w:val="02010609030101010101"/>
    <w:charset w:val="86"/>
    <w:family w:val="modern"/>
    <w:pitch w:val="fixed"/>
    <w:sig w:usb0="00000001" w:usb1="080E0000" w:usb2="00000010" w:usb3="00000000" w:csb0="00040000" w:csb1="00000000"/>
    <w:embedRegular r:id="rId4" w:subsetted="1" w:fontKey="{08AB4F8C-D83C-4A65-8AF6-DDA7F4B9BB50}"/>
  </w:font>
  <w:font w:name="楷体_GB2312">
    <w:panose1 w:val="02010609030101010101"/>
    <w:charset w:val="86"/>
    <w:family w:val="modern"/>
    <w:pitch w:val="fixed"/>
    <w:sig w:usb0="00000001" w:usb1="080E0000" w:usb2="00000010" w:usb3="00000000" w:csb0="00040000" w:csb1="00000000"/>
    <w:embedBold r:id="rId5" w:subsetted="1" w:fontKey="{DE299E21-508E-4278-813C-80C112D738D6}"/>
  </w:font>
  <w:font w:name="华文楷体">
    <w:charset w:val="86"/>
    <w:family w:val="auto"/>
    <w:pitch w:val="default"/>
    <w:sig w:usb0="00000287" w:usb1="080F0000" w:usb2="00000000" w:usb3="00000000" w:csb0="0004009F" w:csb1="DFD7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067" w:rsidRDefault="00025848">
    <w:pPr>
      <w:pStyle w:val="a4"/>
      <w:jc w:val="right"/>
    </w:pPr>
    <w:r>
      <w:fldChar w:fldCharType="begin"/>
    </w:r>
    <w:r w:rsidR="00B17974">
      <w:instrText>PAGE   \* MERGEFORMAT</w:instrText>
    </w:r>
    <w:r>
      <w:fldChar w:fldCharType="separate"/>
    </w:r>
    <w:r w:rsidR="00AD5D0D" w:rsidRPr="00AD5D0D">
      <w:rPr>
        <w:noProof/>
        <w:lang w:val="zh-CN"/>
      </w:rPr>
      <w:t>3</w:t>
    </w:r>
    <w:r>
      <w:fldChar w:fldCharType="end"/>
    </w:r>
  </w:p>
  <w:p w:rsidR="00463067" w:rsidRDefault="0046306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6B76" w:rsidRDefault="00026B76" w:rsidP="00463067">
      <w:r>
        <w:separator/>
      </w:r>
    </w:p>
  </w:footnote>
  <w:footnote w:type="continuationSeparator" w:id="0">
    <w:p w:rsidR="00026B76" w:rsidRDefault="00026B76" w:rsidP="004630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067" w:rsidRDefault="00463067">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
  <w:docVars>
    <w:docVar w:name="commondata" w:val="eyJoZGlkIjoiODViY2JkMjU3NGYzZTEwMzZmMGFkZWViYmNkYWU3NDIifQ=="/>
  </w:docVars>
  <w:rsids>
    <w:rsidRoot w:val="00F83B5B"/>
    <w:rsid w:val="000021AF"/>
    <w:rsid w:val="00007FB3"/>
    <w:rsid w:val="000157E1"/>
    <w:rsid w:val="00025848"/>
    <w:rsid w:val="00026B76"/>
    <w:rsid w:val="00032A56"/>
    <w:rsid w:val="0004087C"/>
    <w:rsid w:val="0004191B"/>
    <w:rsid w:val="00051DCB"/>
    <w:rsid w:val="00063016"/>
    <w:rsid w:val="0006427D"/>
    <w:rsid w:val="00071F8B"/>
    <w:rsid w:val="000768E7"/>
    <w:rsid w:val="00080518"/>
    <w:rsid w:val="00080E85"/>
    <w:rsid w:val="000844EC"/>
    <w:rsid w:val="0009798E"/>
    <w:rsid w:val="000C1689"/>
    <w:rsid w:val="000D1580"/>
    <w:rsid w:val="0010720A"/>
    <w:rsid w:val="00121A77"/>
    <w:rsid w:val="00121BB3"/>
    <w:rsid w:val="00123075"/>
    <w:rsid w:val="00130659"/>
    <w:rsid w:val="001327F9"/>
    <w:rsid w:val="0013298D"/>
    <w:rsid w:val="001344F4"/>
    <w:rsid w:val="0015687B"/>
    <w:rsid w:val="001574A5"/>
    <w:rsid w:val="001635E6"/>
    <w:rsid w:val="00165635"/>
    <w:rsid w:val="00166360"/>
    <w:rsid w:val="001812ED"/>
    <w:rsid w:val="0018724D"/>
    <w:rsid w:val="00191118"/>
    <w:rsid w:val="001A4971"/>
    <w:rsid w:val="001C0967"/>
    <w:rsid w:val="001C5C8C"/>
    <w:rsid w:val="001D036A"/>
    <w:rsid w:val="001D0D85"/>
    <w:rsid w:val="001E42C0"/>
    <w:rsid w:val="001E56B4"/>
    <w:rsid w:val="001E6669"/>
    <w:rsid w:val="001F6311"/>
    <w:rsid w:val="002002E7"/>
    <w:rsid w:val="00210411"/>
    <w:rsid w:val="00210D79"/>
    <w:rsid w:val="002139C6"/>
    <w:rsid w:val="00216EA8"/>
    <w:rsid w:val="002400A7"/>
    <w:rsid w:val="00245FE5"/>
    <w:rsid w:val="002471B0"/>
    <w:rsid w:val="00264957"/>
    <w:rsid w:val="00264F2D"/>
    <w:rsid w:val="00285391"/>
    <w:rsid w:val="002B0D8B"/>
    <w:rsid w:val="002B0F27"/>
    <w:rsid w:val="002B1222"/>
    <w:rsid w:val="002B178D"/>
    <w:rsid w:val="002B5464"/>
    <w:rsid w:val="002B6BC7"/>
    <w:rsid w:val="002C1EEE"/>
    <w:rsid w:val="002C4CAB"/>
    <w:rsid w:val="002D0068"/>
    <w:rsid w:val="002D4734"/>
    <w:rsid w:val="002E3F5D"/>
    <w:rsid w:val="002E51AB"/>
    <w:rsid w:val="002E7414"/>
    <w:rsid w:val="002F29BD"/>
    <w:rsid w:val="0030117A"/>
    <w:rsid w:val="00306762"/>
    <w:rsid w:val="003070F0"/>
    <w:rsid w:val="00310583"/>
    <w:rsid w:val="00316F12"/>
    <w:rsid w:val="003309F2"/>
    <w:rsid w:val="00354EEA"/>
    <w:rsid w:val="00357B54"/>
    <w:rsid w:val="00362C3E"/>
    <w:rsid w:val="00362C5F"/>
    <w:rsid w:val="00365D7C"/>
    <w:rsid w:val="0036638E"/>
    <w:rsid w:val="0037620D"/>
    <w:rsid w:val="00387676"/>
    <w:rsid w:val="00391768"/>
    <w:rsid w:val="003924EC"/>
    <w:rsid w:val="00393566"/>
    <w:rsid w:val="003942AE"/>
    <w:rsid w:val="0039454B"/>
    <w:rsid w:val="003A2354"/>
    <w:rsid w:val="003A5D06"/>
    <w:rsid w:val="003A5E44"/>
    <w:rsid w:val="003A7B20"/>
    <w:rsid w:val="003C4741"/>
    <w:rsid w:val="003C4A1F"/>
    <w:rsid w:val="003E5AA0"/>
    <w:rsid w:val="0040657C"/>
    <w:rsid w:val="004326B6"/>
    <w:rsid w:val="00441F75"/>
    <w:rsid w:val="004507B6"/>
    <w:rsid w:val="0045419B"/>
    <w:rsid w:val="00463067"/>
    <w:rsid w:val="004747E1"/>
    <w:rsid w:val="0048088D"/>
    <w:rsid w:val="0049163D"/>
    <w:rsid w:val="004A4450"/>
    <w:rsid w:val="004B1236"/>
    <w:rsid w:val="004B3196"/>
    <w:rsid w:val="004B7CDC"/>
    <w:rsid w:val="005072E9"/>
    <w:rsid w:val="00507EA8"/>
    <w:rsid w:val="00510709"/>
    <w:rsid w:val="005223C8"/>
    <w:rsid w:val="00525A6A"/>
    <w:rsid w:val="00534CF9"/>
    <w:rsid w:val="00536429"/>
    <w:rsid w:val="00546A17"/>
    <w:rsid w:val="005773CC"/>
    <w:rsid w:val="00582FF6"/>
    <w:rsid w:val="005A72DE"/>
    <w:rsid w:val="005B1E85"/>
    <w:rsid w:val="005E5488"/>
    <w:rsid w:val="00604796"/>
    <w:rsid w:val="00605345"/>
    <w:rsid w:val="00607D04"/>
    <w:rsid w:val="00630F26"/>
    <w:rsid w:val="00634232"/>
    <w:rsid w:val="00650F12"/>
    <w:rsid w:val="00652B7F"/>
    <w:rsid w:val="00655B02"/>
    <w:rsid w:val="00665270"/>
    <w:rsid w:val="00666915"/>
    <w:rsid w:val="0067015D"/>
    <w:rsid w:val="00672693"/>
    <w:rsid w:val="00672D1A"/>
    <w:rsid w:val="0067787B"/>
    <w:rsid w:val="00684BC9"/>
    <w:rsid w:val="00690F38"/>
    <w:rsid w:val="00695D23"/>
    <w:rsid w:val="006976CD"/>
    <w:rsid w:val="006A4A9A"/>
    <w:rsid w:val="006C4848"/>
    <w:rsid w:val="006C7EA9"/>
    <w:rsid w:val="006D33DB"/>
    <w:rsid w:val="006D5EE3"/>
    <w:rsid w:val="006F1763"/>
    <w:rsid w:val="006F712B"/>
    <w:rsid w:val="00702E40"/>
    <w:rsid w:val="0070575B"/>
    <w:rsid w:val="007117EB"/>
    <w:rsid w:val="00722857"/>
    <w:rsid w:val="0072536B"/>
    <w:rsid w:val="00733327"/>
    <w:rsid w:val="00736FCB"/>
    <w:rsid w:val="0074179D"/>
    <w:rsid w:val="00743EB3"/>
    <w:rsid w:val="0075360F"/>
    <w:rsid w:val="00755E1A"/>
    <w:rsid w:val="0076062B"/>
    <w:rsid w:val="0076450A"/>
    <w:rsid w:val="00765AB4"/>
    <w:rsid w:val="007758E3"/>
    <w:rsid w:val="007942B4"/>
    <w:rsid w:val="007A4A1E"/>
    <w:rsid w:val="007A59E2"/>
    <w:rsid w:val="007B0C62"/>
    <w:rsid w:val="007B3481"/>
    <w:rsid w:val="007B4A1F"/>
    <w:rsid w:val="007B67A2"/>
    <w:rsid w:val="007B6D2D"/>
    <w:rsid w:val="007C2A9E"/>
    <w:rsid w:val="007D22C5"/>
    <w:rsid w:val="007E7066"/>
    <w:rsid w:val="007E739C"/>
    <w:rsid w:val="0080465B"/>
    <w:rsid w:val="008436FB"/>
    <w:rsid w:val="00844315"/>
    <w:rsid w:val="008508ED"/>
    <w:rsid w:val="008509BE"/>
    <w:rsid w:val="008566FD"/>
    <w:rsid w:val="008777F3"/>
    <w:rsid w:val="0088354E"/>
    <w:rsid w:val="00890CC7"/>
    <w:rsid w:val="008A0BFF"/>
    <w:rsid w:val="008A7057"/>
    <w:rsid w:val="008B59DA"/>
    <w:rsid w:val="008B65FC"/>
    <w:rsid w:val="008D6A70"/>
    <w:rsid w:val="008E5DCE"/>
    <w:rsid w:val="008F01A7"/>
    <w:rsid w:val="008F6E0F"/>
    <w:rsid w:val="009063B2"/>
    <w:rsid w:val="0091027B"/>
    <w:rsid w:val="00911DED"/>
    <w:rsid w:val="009248B6"/>
    <w:rsid w:val="00932975"/>
    <w:rsid w:val="00947DD1"/>
    <w:rsid w:val="009833C4"/>
    <w:rsid w:val="00990DA9"/>
    <w:rsid w:val="00990E9C"/>
    <w:rsid w:val="00990FF0"/>
    <w:rsid w:val="00993A47"/>
    <w:rsid w:val="00993BD1"/>
    <w:rsid w:val="009A6CEE"/>
    <w:rsid w:val="009B3346"/>
    <w:rsid w:val="009C22C2"/>
    <w:rsid w:val="009C4E15"/>
    <w:rsid w:val="009F1AB9"/>
    <w:rsid w:val="00A002A9"/>
    <w:rsid w:val="00A0068C"/>
    <w:rsid w:val="00A039CA"/>
    <w:rsid w:val="00A170DA"/>
    <w:rsid w:val="00A201D0"/>
    <w:rsid w:val="00A30321"/>
    <w:rsid w:val="00A3088B"/>
    <w:rsid w:val="00A30C7A"/>
    <w:rsid w:val="00A32742"/>
    <w:rsid w:val="00A35B94"/>
    <w:rsid w:val="00A37C11"/>
    <w:rsid w:val="00A67875"/>
    <w:rsid w:val="00A71950"/>
    <w:rsid w:val="00A8560D"/>
    <w:rsid w:val="00AA01E2"/>
    <w:rsid w:val="00AA63D6"/>
    <w:rsid w:val="00AB2066"/>
    <w:rsid w:val="00AC1325"/>
    <w:rsid w:val="00AC45D9"/>
    <w:rsid w:val="00AD1A5E"/>
    <w:rsid w:val="00AD5D0D"/>
    <w:rsid w:val="00AF752F"/>
    <w:rsid w:val="00B17974"/>
    <w:rsid w:val="00B2354F"/>
    <w:rsid w:val="00B30CB1"/>
    <w:rsid w:val="00B32172"/>
    <w:rsid w:val="00B35031"/>
    <w:rsid w:val="00B5103A"/>
    <w:rsid w:val="00B525A3"/>
    <w:rsid w:val="00B5671B"/>
    <w:rsid w:val="00B56AD5"/>
    <w:rsid w:val="00B708C5"/>
    <w:rsid w:val="00B77CDE"/>
    <w:rsid w:val="00B86D26"/>
    <w:rsid w:val="00BB1C02"/>
    <w:rsid w:val="00BB5EFC"/>
    <w:rsid w:val="00BF1AF8"/>
    <w:rsid w:val="00BF1E7D"/>
    <w:rsid w:val="00C14E62"/>
    <w:rsid w:val="00C15E67"/>
    <w:rsid w:val="00C2363E"/>
    <w:rsid w:val="00C32C3A"/>
    <w:rsid w:val="00C35CA6"/>
    <w:rsid w:val="00C40D07"/>
    <w:rsid w:val="00C43363"/>
    <w:rsid w:val="00C62224"/>
    <w:rsid w:val="00C67B70"/>
    <w:rsid w:val="00C72EF8"/>
    <w:rsid w:val="00C83DAA"/>
    <w:rsid w:val="00C84AF8"/>
    <w:rsid w:val="00C9236F"/>
    <w:rsid w:val="00CA0BC3"/>
    <w:rsid w:val="00CB1355"/>
    <w:rsid w:val="00CB270B"/>
    <w:rsid w:val="00CC19D1"/>
    <w:rsid w:val="00CC27FD"/>
    <w:rsid w:val="00CC5FAA"/>
    <w:rsid w:val="00CC7A2B"/>
    <w:rsid w:val="00CF0F93"/>
    <w:rsid w:val="00CF678B"/>
    <w:rsid w:val="00D03AF0"/>
    <w:rsid w:val="00D23A0F"/>
    <w:rsid w:val="00D240B8"/>
    <w:rsid w:val="00D3706E"/>
    <w:rsid w:val="00D52BD5"/>
    <w:rsid w:val="00D604F6"/>
    <w:rsid w:val="00D67AF7"/>
    <w:rsid w:val="00D708F7"/>
    <w:rsid w:val="00D71E5D"/>
    <w:rsid w:val="00D74628"/>
    <w:rsid w:val="00D769F2"/>
    <w:rsid w:val="00D81F0F"/>
    <w:rsid w:val="00D85CDE"/>
    <w:rsid w:val="00D86908"/>
    <w:rsid w:val="00DA239C"/>
    <w:rsid w:val="00DA3A86"/>
    <w:rsid w:val="00DA654D"/>
    <w:rsid w:val="00DA6D64"/>
    <w:rsid w:val="00DD34CF"/>
    <w:rsid w:val="00DE1F91"/>
    <w:rsid w:val="00E03DA6"/>
    <w:rsid w:val="00E06E99"/>
    <w:rsid w:val="00E15F72"/>
    <w:rsid w:val="00E1705B"/>
    <w:rsid w:val="00E2526A"/>
    <w:rsid w:val="00E262CA"/>
    <w:rsid w:val="00E26484"/>
    <w:rsid w:val="00E27700"/>
    <w:rsid w:val="00E5095B"/>
    <w:rsid w:val="00E61114"/>
    <w:rsid w:val="00E65F1E"/>
    <w:rsid w:val="00E661F1"/>
    <w:rsid w:val="00E86AE4"/>
    <w:rsid w:val="00E873FD"/>
    <w:rsid w:val="00EA2E45"/>
    <w:rsid w:val="00EB6BD6"/>
    <w:rsid w:val="00EC156D"/>
    <w:rsid w:val="00EC226D"/>
    <w:rsid w:val="00ED2B23"/>
    <w:rsid w:val="00EE1375"/>
    <w:rsid w:val="00EF102C"/>
    <w:rsid w:val="00EF1265"/>
    <w:rsid w:val="00EF2447"/>
    <w:rsid w:val="00EF40F3"/>
    <w:rsid w:val="00F028B5"/>
    <w:rsid w:val="00F148B9"/>
    <w:rsid w:val="00F25C42"/>
    <w:rsid w:val="00F26A0A"/>
    <w:rsid w:val="00F330FC"/>
    <w:rsid w:val="00F353E0"/>
    <w:rsid w:val="00F35728"/>
    <w:rsid w:val="00F35AFD"/>
    <w:rsid w:val="00F4574B"/>
    <w:rsid w:val="00F50289"/>
    <w:rsid w:val="00F55463"/>
    <w:rsid w:val="00F57CC7"/>
    <w:rsid w:val="00F63740"/>
    <w:rsid w:val="00F638BF"/>
    <w:rsid w:val="00F72950"/>
    <w:rsid w:val="00F76AD0"/>
    <w:rsid w:val="00F83B5B"/>
    <w:rsid w:val="00F92C97"/>
    <w:rsid w:val="00FA44A0"/>
    <w:rsid w:val="00FD0BA3"/>
    <w:rsid w:val="00FE2C58"/>
    <w:rsid w:val="00FE327B"/>
    <w:rsid w:val="00FE4823"/>
    <w:rsid w:val="00FF4725"/>
    <w:rsid w:val="01FB0577"/>
    <w:rsid w:val="04206073"/>
    <w:rsid w:val="04F0532A"/>
    <w:rsid w:val="051E41F2"/>
    <w:rsid w:val="0580501B"/>
    <w:rsid w:val="0599648A"/>
    <w:rsid w:val="063018FF"/>
    <w:rsid w:val="06BA455D"/>
    <w:rsid w:val="075E2523"/>
    <w:rsid w:val="07F910B5"/>
    <w:rsid w:val="09B230BD"/>
    <w:rsid w:val="0D27021D"/>
    <w:rsid w:val="0E1A4443"/>
    <w:rsid w:val="0E601E8E"/>
    <w:rsid w:val="0F916077"/>
    <w:rsid w:val="10433815"/>
    <w:rsid w:val="1054157E"/>
    <w:rsid w:val="114415F3"/>
    <w:rsid w:val="15FC21C2"/>
    <w:rsid w:val="1695469E"/>
    <w:rsid w:val="16CE195E"/>
    <w:rsid w:val="171F21BA"/>
    <w:rsid w:val="178D35C8"/>
    <w:rsid w:val="17EC6540"/>
    <w:rsid w:val="18366562"/>
    <w:rsid w:val="19EA2F53"/>
    <w:rsid w:val="1A7B3BAB"/>
    <w:rsid w:val="1AB62E35"/>
    <w:rsid w:val="1BA52068"/>
    <w:rsid w:val="207B43B2"/>
    <w:rsid w:val="21E753F3"/>
    <w:rsid w:val="22185690"/>
    <w:rsid w:val="223905D4"/>
    <w:rsid w:val="229C0B63"/>
    <w:rsid w:val="234B255C"/>
    <w:rsid w:val="23ED1676"/>
    <w:rsid w:val="23F01166"/>
    <w:rsid w:val="2561056D"/>
    <w:rsid w:val="2580476C"/>
    <w:rsid w:val="260929B3"/>
    <w:rsid w:val="278624FA"/>
    <w:rsid w:val="2A742AF1"/>
    <w:rsid w:val="2ABC7FF4"/>
    <w:rsid w:val="2B346588"/>
    <w:rsid w:val="2BC453B2"/>
    <w:rsid w:val="2C730B86"/>
    <w:rsid w:val="2D656721"/>
    <w:rsid w:val="2DC86CB0"/>
    <w:rsid w:val="2EB060C2"/>
    <w:rsid w:val="3115045E"/>
    <w:rsid w:val="314D7BF8"/>
    <w:rsid w:val="31D9592F"/>
    <w:rsid w:val="32AB642D"/>
    <w:rsid w:val="32E6629F"/>
    <w:rsid w:val="32F10A57"/>
    <w:rsid w:val="34B55DC6"/>
    <w:rsid w:val="37B06217"/>
    <w:rsid w:val="388D4D7E"/>
    <w:rsid w:val="38A04AB1"/>
    <w:rsid w:val="3ACC1737"/>
    <w:rsid w:val="3D3B124C"/>
    <w:rsid w:val="3DBF52E7"/>
    <w:rsid w:val="3E52324D"/>
    <w:rsid w:val="3ECF4342"/>
    <w:rsid w:val="3F536D21"/>
    <w:rsid w:val="3FD634AE"/>
    <w:rsid w:val="407451A1"/>
    <w:rsid w:val="4235270E"/>
    <w:rsid w:val="42562684"/>
    <w:rsid w:val="426923B8"/>
    <w:rsid w:val="42C615B8"/>
    <w:rsid w:val="4383394D"/>
    <w:rsid w:val="43C024AB"/>
    <w:rsid w:val="43F959BD"/>
    <w:rsid w:val="46F506BE"/>
    <w:rsid w:val="49935F6C"/>
    <w:rsid w:val="49D1194C"/>
    <w:rsid w:val="4A396B13"/>
    <w:rsid w:val="4B00542D"/>
    <w:rsid w:val="4B7778F3"/>
    <w:rsid w:val="4C2D07B4"/>
    <w:rsid w:val="4DE60D60"/>
    <w:rsid w:val="4FBB7FCB"/>
    <w:rsid w:val="51295B34"/>
    <w:rsid w:val="52483D98"/>
    <w:rsid w:val="532A5B93"/>
    <w:rsid w:val="55376345"/>
    <w:rsid w:val="55B47996"/>
    <w:rsid w:val="56382375"/>
    <w:rsid w:val="591E1CF6"/>
    <w:rsid w:val="59E051FD"/>
    <w:rsid w:val="5A902780"/>
    <w:rsid w:val="5A9102A6"/>
    <w:rsid w:val="5AE14D89"/>
    <w:rsid w:val="5D133FEE"/>
    <w:rsid w:val="5E1C55F2"/>
    <w:rsid w:val="5E563CE0"/>
    <w:rsid w:val="5F5D1227"/>
    <w:rsid w:val="5FED5F7E"/>
    <w:rsid w:val="5FF4555F"/>
    <w:rsid w:val="62E96ED1"/>
    <w:rsid w:val="6315416A"/>
    <w:rsid w:val="64452813"/>
    <w:rsid w:val="655A5E64"/>
    <w:rsid w:val="65A74E21"/>
    <w:rsid w:val="65BC08CD"/>
    <w:rsid w:val="66AC20EE"/>
    <w:rsid w:val="678371C8"/>
    <w:rsid w:val="6954706E"/>
    <w:rsid w:val="6CF03552"/>
    <w:rsid w:val="6D605FE2"/>
    <w:rsid w:val="6D8D2B4F"/>
    <w:rsid w:val="6F1E6154"/>
    <w:rsid w:val="70D155FD"/>
    <w:rsid w:val="70DC0075"/>
    <w:rsid w:val="71267542"/>
    <w:rsid w:val="71CF3736"/>
    <w:rsid w:val="76FB321F"/>
    <w:rsid w:val="77020109"/>
    <w:rsid w:val="77456248"/>
    <w:rsid w:val="7C52568F"/>
    <w:rsid w:val="7D6A6A08"/>
    <w:rsid w:val="7E1E63CD"/>
    <w:rsid w:val="7EE54599"/>
    <w:rsid w:val="7F8E2E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nhideWhenUsed="0" w:qFormat="1"/>
    <w:lsdException w:name="Normal Table"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6306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qFormat/>
    <w:rsid w:val="00463067"/>
    <w:rPr>
      <w:kern w:val="0"/>
      <w:sz w:val="18"/>
      <w:szCs w:val="18"/>
    </w:rPr>
  </w:style>
  <w:style w:type="paragraph" w:styleId="a4">
    <w:name w:val="footer"/>
    <w:basedOn w:val="a"/>
    <w:link w:val="Char0"/>
    <w:autoRedefine/>
    <w:uiPriority w:val="99"/>
    <w:qFormat/>
    <w:rsid w:val="00463067"/>
    <w:pPr>
      <w:tabs>
        <w:tab w:val="center" w:pos="4153"/>
        <w:tab w:val="right" w:pos="8306"/>
      </w:tabs>
      <w:snapToGrid w:val="0"/>
      <w:jc w:val="left"/>
    </w:pPr>
    <w:rPr>
      <w:kern w:val="0"/>
      <w:sz w:val="18"/>
      <w:szCs w:val="18"/>
    </w:rPr>
  </w:style>
  <w:style w:type="paragraph" w:styleId="a5">
    <w:name w:val="header"/>
    <w:basedOn w:val="a"/>
    <w:link w:val="Char1"/>
    <w:autoRedefine/>
    <w:uiPriority w:val="99"/>
    <w:qFormat/>
    <w:rsid w:val="00463067"/>
    <w:pPr>
      <w:pBdr>
        <w:bottom w:val="single" w:sz="6" w:space="1" w:color="auto"/>
      </w:pBdr>
      <w:tabs>
        <w:tab w:val="center" w:pos="4153"/>
        <w:tab w:val="right" w:pos="8306"/>
      </w:tabs>
      <w:snapToGrid w:val="0"/>
      <w:jc w:val="center"/>
    </w:pPr>
    <w:rPr>
      <w:kern w:val="0"/>
      <w:sz w:val="18"/>
      <w:szCs w:val="18"/>
    </w:rPr>
  </w:style>
  <w:style w:type="paragraph" w:styleId="a6">
    <w:name w:val="Normal (Web)"/>
    <w:basedOn w:val="a"/>
    <w:autoRedefine/>
    <w:uiPriority w:val="99"/>
    <w:semiHidden/>
    <w:qFormat/>
    <w:rsid w:val="00463067"/>
    <w:pPr>
      <w:widowControl/>
      <w:spacing w:before="100" w:beforeAutospacing="1" w:after="100" w:afterAutospacing="1"/>
      <w:jc w:val="left"/>
    </w:pPr>
    <w:rPr>
      <w:rFonts w:ascii="宋体" w:hAnsi="宋体" w:cs="宋体"/>
      <w:kern w:val="0"/>
      <w:sz w:val="24"/>
      <w:szCs w:val="24"/>
    </w:rPr>
  </w:style>
  <w:style w:type="table" w:styleId="a7">
    <w:name w:val="Table Grid"/>
    <w:basedOn w:val="a1"/>
    <w:autoRedefine/>
    <w:uiPriority w:val="99"/>
    <w:qFormat/>
    <w:rsid w:val="0046306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link w:val="a5"/>
    <w:autoRedefine/>
    <w:uiPriority w:val="99"/>
    <w:qFormat/>
    <w:locked/>
    <w:rsid w:val="00463067"/>
    <w:rPr>
      <w:rFonts w:cs="Times New Roman"/>
      <w:sz w:val="18"/>
      <w:szCs w:val="18"/>
    </w:rPr>
  </w:style>
  <w:style w:type="character" w:customStyle="1" w:styleId="Char0">
    <w:name w:val="页脚 Char"/>
    <w:link w:val="a4"/>
    <w:autoRedefine/>
    <w:uiPriority w:val="99"/>
    <w:qFormat/>
    <w:locked/>
    <w:rsid w:val="00463067"/>
    <w:rPr>
      <w:rFonts w:cs="Times New Roman"/>
      <w:sz w:val="18"/>
      <w:szCs w:val="18"/>
    </w:rPr>
  </w:style>
  <w:style w:type="character" w:customStyle="1" w:styleId="Char">
    <w:name w:val="批注框文本 Char"/>
    <w:link w:val="a3"/>
    <w:autoRedefine/>
    <w:uiPriority w:val="99"/>
    <w:semiHidden/>
    <w:qFormat/>
    <w:locked/>
    <w:rsid w:val="00463067"/>
    <w:rPr>
      <w:rFonts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10</cp:revision>
  <cp:lastPrinted>2023-06-20T06:48:00Z</cp:lastPrinted>
  <dcterms:created xsi:type="dcterms:W3CDTF">2024-03-06T05:00:00Z</dcterms:created>
  <dcterms:modified xsi:type="dcterms:W3CDTF">2024-03-06T07:44:00Z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CE0B606155044AA18CA878C67B4B7B32_13</vt:lpwstr>
  </property>
</Properties>
</file>